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E4553" w14:textId="61265C43" w:rsidR="00FB2FB1" w:rsidRPr="00FB2FB1" w:rsidRDefault="00FB2FB1" w:rsidP="00FB2FB1">
      <w:pPr>
        <w:jc w:val="both"/>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939"/>
      </w:tblGrid>
      <w:tr w:rsidR="00FB2FB1" w:rsidRPr="00FB2FB1" w14:paraId="2625708A" w14:textId="77777777" w:rsidTr="00FB2FB1">
        <w:trPr>
          <w:tblCellSpacing w:w="15" w:type="dxa"/>
        </w:trPr>
        <w:tc>
          <w:tcPr>
            <w:tcW w:w="0" w:type="auto"/>
            <w:vAlign w:val="center"/>
            <w:hideMark/>
          </w:tcPr>
          <w:p w14:paraId="096EE22A" w14:textId="77777777" w:rsidR="00FB2FB1" w:rsidRPr="00FB2FB1" w:rsidRDefault="00FB2FB1" w:rsidP="00FB2FB1">
            <w:pPr>
              <w:jc w:val="both"/>
              <w:rPr>
                <w:rFonts w:ascii="Times New Roman" w:eastAsia="Times New Roman" w:hAnsi="Times New Roman" w:cs="Times New Roman"/>
                <w:lang w:eastAsia="pl-PL"/>
              </w:rPr>
            </w:pPr>
          </w:p>
        </w:tc>
        <w:tc>
          <w:tcPr>
            <w:tcW w:w="0" w:type="auto"/>
            <w:vAlign w:val="center"/>
            <w:hideMark/>
          </w:tcPr>
          <w:p w14:paraId="54854752" w14:textId="77777777" w:rsidR="00FB2FB1" w:rsidRPr="00FB2FB1" w:rsidRDefault="00FB2FB1" w:rsidP="00FB2FB1">
            <w:pPr>
              <w:jc w:val="both"/>
              <w:rPr>
                <w:rFonts w:ascii="Times New Roman" w:eastAsia="Times New Roman" w:hAnsi="Times New Roman" w:cs="Times New Roman"/>
                <w:lang w:eastAsia="pl-PL"/>
              </w:rPr>
            </w:pPr>
            <w:r w:rsidRPr="00FB2FB1">
              <w:rPr>
                <w:rFonts w:ascii="Times New Roman" w:eastAsia="Times New Roman" w:hAnsi="Times New Roman" w:cs="Times New Roman"/>
                <w:lang w:eastAsia="pl-PL"/>
              </w:rPr>
              <w:t xml:space="preserve">Periodyczne nanosiatki zbudowane z nanolinii są wszechobecne w dzisiejszej nanoelektronice, w której stanowią zarówno warstwę logiczną (np. półprzewodnikowe tranzystory typu fin field-effect transistor (FinFET)) jak i metalizacyjną (wykonaną z miedzi, wolframu, czy, w przyszłości, materiałów grupy platynowej). Ze względu na swój bezkontaktowy charakter techniki optyczne są obiecującym rozwiązaniem jeżeli chodzi o metrologię i wytwarzanie urządzeń na bazie periodycznych nanolinii. Jednak wprowadzenie narzędzi optycznych, do rutynowej produkcji tego typu urządzeń, jest nadal bardzo wymagające. Wynika to z faktu, że techniki optyczne opierają się na efektywności sprzężenia i absorpcji światła, które są silnie zależne od geometrii trójwymiarowych nanosiatek. W tej pracy zajmujemy się problemem wpływu geometrii i warunków oświetlenia na oddziaływanie światła z periodycznymi nanosiatkami. Aby odpowiedzieć na postawiony problem, w pierwszym kroku wyprowadzamy prosty, półanalityczny model służacy do kwantyfikacji oddziaływania światła (np. odbicia czy transmisji) z periodycznymi nanosiatkami. Model zastępuje periodyczną nanosiatkę efektywnym jednorodnym ośrodkiem o anizotropii jednoosiowej (tj. kryształem, którego współczynnik załamania światła wzdłuż jednej osi kryształu różni się od współczynnika załamania wzdłuż dwóch pozostałych osi). Właściwości optyczne takiego efektywnego ośrodka opisane są przy pomocy zespolonych efektywnych współczynników załamania dominujących modów falowodowych wzbudzanych w danej siatce. Następnie używamy zaproponowanego modelu do jakościowego wyjaśnienia w jaki sposób geometria wpływa na odpowiedź optyczną, np. odbicie lub transmisję, różnych nanosiatek, obliczoną za pomocą symulacji numerycznych. Jak wyjaśniamy, interakcje światła ze strukturami o wymiarach istotnych dla przemysłu półprzewodnikowego są zdominowane przez wzbudzenie i interferencję podstawowego modu falowodowego, tj. modu najniższego rzędu wzbudzanego w danej nanosiatce. Z tego powodu, właściwości optyczne takich nanosiatek można opisać przy pomocy zespolonego efektywnego współczynnika załamania modu podstawowego. W następnym kroku wykorzystujemy zespolony efektywny współczynnik załamania modu podstawowego, do zbadania wpływu rozmiarów na efektywne właściwości optyczne (także anizotropię) nanosiatek na bazie krzemowych nanolinii o wymiarach istotnych dla przemysłu półprzewodnikowego. Między innymi pokazujemy, że efektywne właściwości optyczne takich nanosiatek mogą osiągać wartości większe lub mniejsze niż właściwości materiałów objętościowych tworzących siatkę. Na przykład określone wymiary pozwalają na spowolnienie światła, co skutkuje zwiększoną absorpcją nanolinii na bazie krzemu w porównaniu z krzemem objętościowym. Tego typu zjawisko jest obserwowane przy użyciu długości fali elektromagnetycznej zlokalizowanej w pobliżu rezonansu we współczynniku załamania krzemu. Ponadto udowadniamy, że w zgodności z naszym modelem, badane nanosiatki rzeczywiście można traktować jako efektywne jednorodne ośrodki o anizotropii jednoosiowej, tak długo jak rozważane jest oświetlanie ich z powietrza. W ostatniej części używamy modelu do ilościowego wyjaśnienia intensywności rozpraszania Ramana i widm odbiciowych, mierzonych eksperymentalnie na nanosiatkach zbudowanych z półprzewodnikowych i metalicznych nanolinii. Pozwala to na ilościową weryfikację poprawności opracowanego modelu oraz rozszerzenie stosowalności spektroskopii Ramanowskiej w kierunku metrologii nanolinii. Zrozumienie wpływu rozmiarów i warunków oświetlenia na oddziaływanie światła z periodycznymi nanosiatkami rozwinięte w tej pracy, posłuży jako czynnik umożliwiający wprowadzenie technik optycznych do metrologii oraz fabrykacji trójwymiarowych nanourządzeń wykorzystywanych w nanoelektronice i nanofotonice. </w:t>
            </w:r>
          </w:p>
          <w:p w14:paraId="7DE71BE1" w14:textId="26EC5BAA" w:rsidR="00FB2FB1" w:rsidRPr="00FB2FB1" w:rsidRDefault="00FB2FB1" w:rsidP="00FB2FB1">
            <w:pPr>
              <w:jc w:val="both"/>
              <w:rPr>
                <w:rFonts w:ascii="Times New Roman" w:eastAsia="Times New Roman" w:hAnsi="Times New Roman" w:cs="Times New Roman"/>
                <w:lang w:eastAsia="pl-PL"/>
              </w:rPr>
            </w:pPr>
          </w:p>
        </w:tc>
      </w:tr>
    </w:tbl>
    <w:p w14:paraId="17AE71C0" w14:textId="5DB777A4" w:rsidR="00FB2FB1" w:rsidRDefault="003C5753" w:rsidP="00FB2FB1">
      <w:pPr>
        <w:jc w:val="both"/>
        <w:rPr>
          <w:rFonts w:ascii="Times New Roman" w:hAnsi="Times New Roman" w:cs="Times New Roman"/>
        </w:rPr>
      </w:pPr>
      <w:r>
        <w:rPr>
          <w:rFonts w:ascii="Times New Roman" w:hAnsi="Times New Roman" w:cs="Times New Roman"/>
        </w:rPr>
        <w:t>9.06.2021</w:t>
      </w:r>
      <w:bookmarkStart w:id="0" w:name="_GoBack"/>
      <w:bookmarkEnd w:id="0"/>
    </w:p>
    <w:p w14:paraId="4E8B3041" w14:textId="4CC71F6E" w:rsidR="00FB2FB1" w:rsidRDefault="00FB2FB1" w:rsidP="00FB2FB1">
      <w:pPr>
        <w:jc w:val="both"/>
        <w:rPr>
          <w:rFonts w:ascii="Times New Roman" w:hAnsi="Times New Roman" w:cs="Times New Roman"/>
          <w:b/>
          <w:bCs/>
        </w:rPr>
      </w:pPr>
    </w:p>
    <w:p w14:paraId="0E0D956E" w14:textId="77777777" w:rsidR="00FB2FB1" w:rsidRPr="00D35C2D" w:rsidRDefault="00FB2FB1" w:rsidP="00FB2FB1">
      <w:pPr>
        <w:jc w:val="both"/>
        <w:rPr>
          <w:rFonts w:ascii="Times New Roman" w:hAnsi="Times New Roman" w:cs="Times New Roman"/>
          <w:b/>
          <w:bCs/>
          <w:lang w:val="en-US"/>
        </w:rPr>
      </w:pPr>
    </w:p>
    <w:sectPr w:rsidR="00FB2FB1" w:rsidRPr="00D35C2D" w:rsidSect="00DA543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9C"/>
    <w:rsid w:val="001A7D1F"/>
    <w:rsid w:val="002B5458"/>
    <w:rsid w:val="002E3D09"/>
    <w:rsid w:val="0032529C"/>
    <w:rsid w:val="003C5753"/>
    <w:rsid w:val="00547C79"/>
    <w:rsid w:val="007208AD"/>
    <w:rsid w:val="00721BFF"/>
    <w:rsid w:val="008559DD"/>
    <w:rsid w:val="009546C5"/>
    <w:rsid w:val="009644C5"/>
    <w:rsid w:val="009D3B8C"/>
    <w:rsid w:val="00AE330B"/>
    <w:rsid w:val="00C545AC"/>
    <w:rsid w:val="00D35C2D"/>
    <w:rsid w:val="00DA5430"/>
    <w:rsid w:val="00DC4AAD"/>
    <w:rsid w:val="00FB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F62A"/>
  <w14:defaultImageDpi w14:val="32767"/>
  <w15:chartTrackingRefBased/>
  <w15:docId w15:val="{21B6D6D2-8DB1-4BBD-B7CE-97E2D3CA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C545AC"/>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4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75060">
      <w:bodyDiv w:val="1"/>
      <w:marLeft w:val="0"/>
      <w:marRight w:val="0"/>
      <w:marTop w:val="0"/>
      <w:marBottom w:val="0"/>
      <w:divBdr>
        <w:top w:val="none" w:sz="0" w:space="0" w:color="auto"/>
        <w:left w:val="none" w:sz="0" w:space="0" w:color="auto"/>
        <w:bottom w:val="none" w:sz="0" w:space="0" w:color="auto"/>
        <w:right w:val="none" w:sz="0" w:space="0" w:color="auto"/>
      </w:divBdr>
    </w:div>
    <w:div w:id="136251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2016 public GS">
  <a:themeElements>
    <a:clrScheme name="imec rebranded">
      <a:dk1>
        <a:srgbClr val="3C3C3B"/>
      </a:dk1>
      <a:lt1>
        <a:srgbClr val="FFFFFF"/>
      </a:lt1>
      <a:dk2>
        <a:srgbClr val="3F98BD"/>
      </a:dk2>
      <a:lt2>
        <a:srgbClr val="929497"/>
      </a:lt2>
      <a:accent1>
        <a:srgbClr val="90298D"/>
      </a:accent1>
      <a:accent2>
        <a:srgbClr val="36337D"/>
      </a:accent2>
      <a:accent3>
        <a:srgbClr val="1582BE"/>
      </a:accent3>
      <a:accent4>
        <a:srgbClr val="99BDE4"/>
      </a:accent4>
      <a:accent5>
        <a:srgbClr val="C778AD"/>
      </a:accent5>
      <a:accent6>
        <a:srgbClr val="52BDC2"/>
      </a:accent6>
      <a:hlink>
        <a:srgbClr val="3F98BD"/>
      </a:hlink>
      <a:folHlink>
        <a:srgbClr val="2D6C8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a:gsLst>
            <a:gs pos="0">
              <a:schemeClr val="accent6"/>
            </a:gs>
            <a:gs pos="60000">
              <a:schemeClr val="tx2"/>
            </a:gs>
          </a:gsLst>
          <a:lin ang="2700000" scaled="0"/>
        </a:gradFill>
        <a:ln>
          <a:noFill/>
        </a:ln>
        <a:effectLst/>
      </a:spPr>
      <a:bodyPr rtlCol="0" anchor="ctr"/>
      <a:lstStyle>
        <a:defPPr algn="ctr">
          <a:defRPr sz="1400" smtClean="0"/>
        </a:defPPr>
      </a:lstStyle>
      <a:style>
        <a:lnRef idx="1">
          <a:schemeClr val="accent1"/>
        </a:lnRef>
        <a:fillRef idx="3">
          <a:schemeClr val="accent1"/>
        </a:fillRef>
        <a:effectRef idx="2">
          <a:schemeClr val="accent1"/>
        </a:effectRef>
        <a:fontRef idx="minor">
          <a:schemeClr val="lt1"/>
        </a:fontRef>
      </a:style>
    </a:spDef>
    <a:lnDef>
      <a:spPr>
        <a:ln w="3175" cmpd="sng">
          <a:solidFill>
            <a:schemeClr val="tx2"/>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lgn="ctr">
          <a:defRPr sz="1200" dirty="0" err="1" smtClean="0"/>
        </a:defPPr>
      </a:lstStyle>
    </a:txDef>
  </a:objectDefaults>
  <a:extraClrSchemeLst/>
  <a:extLst>
    <a:ext uri="{05A4C25C-085E-4340-85A3-A5531E510DB2}">
      <thm15:themeFamily xmlns:thm15="http://schemas.microsoft.com/office/thememl/2012/main" name="2016 public GS" id="{DA303D92-9DCE-7A47-8A74-9F755E1B69BF}" vid="{88B33686-34E0-7A43-878E-C04009FDA531}"/>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3286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Gawlik (----)</dc:creator>
  <cp:keywords/>
  <dc:description/>
  <cp:lastModifiedBy>M. Robak-Warzywoda</cp:lastModifiedBy>
  <cp:revision>3</cp:revision>
  <dcterms:created xsi:type="dcterms:W3CDTF">2021-06-11T08:51:00Z</dcterms:created>
  <dcterms:modified xsi:type="dcterms:W3CDTF">2021-06-11T08:52:00Z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eba32c-0974-4663-a3a1-3cd8c30938e9_Enabled">
    <vt:lpwstr>true</vt:lpwstr>
  </property>
  <property fmtid="{D5CDD505-2E9C-101B-9397-08002B2CF9AE}" pid="3" name="MSIP_Label_f0eba32c-0974-4663-a3a1-3cd8c30938e9_SetDate">
    <vt:lpwstr>2021-06-09T12:00:18Z</vt:lpwstr>
  </property>
  <property fmtid="{D5CDD505-2E9C-101B-9397-08002B2CF9AE}" pid="4" name="MSIP_Label_f0eba32c-0974-4663-a3a1-3cd8c30938e9_Method">
    <vt:lpwstr>Privileged</vt:lpwstr>
  </property>
  <property fmtid="{D5CDD505-2E9C-101B-9397-08002B2CF9AE}" pid="5" name="MSIP_Label_f0eba32c-0974-4663-a3a1-3cd8c30938e9_Name">
    <vt:lpwstr>Public - General - Unmarked</vt:lpwstr>
  </property>
  <property fmtid="{D5CDD505-2E9C-101B-9397-08002B2CF9AE}" pid="6" name="MSIP_Label_f0eba32c-0974-4663-a3a1-3cd8c30938e9_SiteId">
    <vt:lpwstr>a72d5a72-25ee-40f0-9bd1-067cb5b770d4</vt:lpwstr>
  </property>
  <property fmtid="{D5CDD505-2E9C-101B-9397-08002B2CF9AE}" pid="7" name="MSIP_Label_f0eba32c-0974-4663-a3a1-3cd8c30938e9_ActionId">
    <vt:lpwstr>744241d7-331b-4e42-96cc-65e278652118</vt:lpwstr>
  </property>
  <property fmtid="{D5CDD505-2E9C-101B-9397-08002B2CF9AE}" pid="8" name="MSIP_Label_f0eba32c-0974-4663-a3a1-3cd8c30938e9_ContentBits">
    <vt:lpwstr>0</vt:lpwstr>
  </property>
</Properties>
</file>