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6A45" w:rsidRPr="00B36A45" w:rsidRDefault="00B36A45" w:rsidP="00B36A45">
      <w:pPr>
        <w:jc w:val="center"/>
        <w:rPr>
          <w:b/>
        </w:rPr>
      </w:pPr>
      <w:r w:rsidRPr="00B36A45">
        <w:rPr>
          <w:b/>
        </w:rPr>
        <w:t>Abstract</w:t>
      </w:r>
    </w:p>
    <w:p w:rsidR="00B36A45" w:rsidRDefault="00B36A45" w:rsidP="00B36A45">
      <w:pPr>
        <w:jc w:val="both"/>
      </w:pPr>
      <w:r>
        <w:t>Dry eye is a multifactorial disease of the ocular surface that results in signs and symptoms of discomfort, visual disturbance, tear alterations, and tear film instability with possible damage to the ocular surface. The estimated prevalence of dry eye ranges between 5% and 35%. This wide variability is partly attributed to lack of a standard definition, classification and diagnostic protocol. The wide amount of available options to assess the quality of the tear film together with their poor repeatability and the different approaches between clinicians and researchers, make likely that dry eye is sometimes misrecognized or confused, pointing to the need of standardized and reliable diagnostic tools. Tear film instability is one of the main contributors to dry eye development that yields to loss of tear film homeostasis. Thus, the assessment of tear film stability is used as an essential diagnostic criterion. The quality of the tear film lipid layer has a determining role in maintaining proper tear film stability. This layer is mostly composed by lipids produced and delivered by the meibomian glands and consequently their correct functioning is essential to originate a proper lipid layer. This dissertation aims to advance in automatic and non-invasive techniques to estimate the stability of the tear film and meibomian glands morphology, which are two factors that will determine the quality of the tear film.</w:t>
      </w:r>
    </w:p>
    <w:p w:rsidR="00B36A45" w:rsidRDefault="00B36A45" w:rsidP="00B36A45">
      <w:pPr>
        <w:jc w:val="both"/>
      </w:pPr>
      <w:r>
        <w:t>The work is focused on the development of image processing algorithms relevant to two techniques: high speed videokeratoscopy (for assessing tear film stability) and infrared meibography (for assessing meibomian glands architecture). High speed videokeratoscopy was chosen as previously it was shown to be a useful instrument for assessing tear film stability in a non-invasive manner and it is of easy clinical use and accessibility. On the other hand, infrared meibography is the technique to assess meibomian glands structure that allows in vivo visualization of large glandular area with minimal discomfort for the patient.</w:t>
      </w:r>
    </w:p>
    <w:p w:rsidR="00B36A45" w:rsidRDefault="00B36A45" w:rsidP="00B36A45">
      <w:pPr>
        <w:jc w:val="both"/>
      </w:pPr>
      <w:r>
        <w:t>Specifically, fractal dimension based texture analysis of high speed videokeratoscopy images has been used to describe tear film dynamics and stability. This approach has shown to achieve a better dry eye diagnostic performance with high vales of sensitivity and specificity in differentiating between dry eye and healthy subjects. Additionally, this method can be used to assess tear film dynamics with contact lens on eye being able to differentiate, in vivo, between the effects of different contact lens materials on the tear film characteristics. Further work was performed in order to adapt the algorithm to be used in different commercial instruments. C</w:t>
      </w:r>
      <w:r>
        <w:t xml:space="preserve">urrently commercially available </w:t>
      </w:r>
      <w:r>
        <w:t>videokeratoscopes have their own different approaches to analyze the acquired images making results not interchangeable and comparable. By applying a unified approach to different instruments a better agreement of tear film stability indicators was achieved.</w:t>
      </w:r>
    </w:p>
    <w:p w:rsidR="00B36A45" w:rsidRDefault="00B36A45" w:rsidP="00B36A45">
      <w:pPr>
        <w:jc w:val="both"/>
      </w:pPr>
      <w:r>
        <w:t>In order to analyze infrared images of meibomian glands an automated algorithm has been designed that provides morphometric information of the glands, and for the first time an objective measure of gland irregularity has been proposed. This algorithm has been tested in 149 subjects with different degrees of meibomian gland dysfunction and has showed good performance. Current classification of meibography images has been reviewed and a new grading scale with lower intra-class</w:t>
      </w:r>
      <w:r>
        <w:t xml:space="preserve"> </w:t>
      </w:r>
      <w:r>
        <w:t>variation has been proposed.</w:t>
      </w:r>
    </w:p>
    <w:p w:rsidR="003527E9" w:rsidRPr="00D45ABE" w:rsidRDefault="00B36A45" w:rsidP="00B36A45">
      <w:pPr>
        <w:jc w:val="both"/>
      </w:pPr>
      <w:r>
        <w:t>This dissertation evidences the clinical utility of high speed videokeratoscopy and infrared meibography in tear film quality assessment. So far the work executed has shown that these techniques can benefit from advanced image analysis methods. The developed algorithms stand for an advancement in robust and accurate assessment of tear film quality with potential clinical implications in the support of dry eye disease diagnosis and open a door for future progress in its diagnostic standardization.</w:t>
      </w:r>
      <w:bookmarkStart w:id="0" w:name="_GoBack"/>
      <w:bookmarkEnd w:id="0"/>
    </w:p>
    <w:sectPr w:rsidR="003527E9" w:rsidRPr="00D45ABE">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7E9"/>
    <w:rsid w:val="003527E9"/>
    <w:rsid w:val="007F0DBE"/>
    <w:rsid w:val="00B36A45"/>
    <w:rsid w:val="00D45ABE"/>
  </w:rsids>
  <m:mathPr>
    <m:mathFont m:val="XITS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E00867-B62E-4352-8E14-C2233682C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601</Words>
  <Characters>3428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Iskander</dc:creator>
  <cp:keywords/>
  <dc:description/>
  <cp:lastModifiedBy>Iskander</cp:lastModifiedBy>
  <cp:revision>3</cp:revision>
  <dcterms:created xsi:type="dcterms:W3CDTF">2019-02-22T08:35:00Z</dcterms:created>
  <dcterms:modified xsi:type="dcterms:W3CDTF">2019-02-22T08:37:00Z</dcterms:modified>
</cp:coreProperties>
</file>